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2D331" w14:textId="55661D0A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415D3">
        <w:rPr>
          <w:rFonts w:ascii="Palatino Linotype" w:eastAsiaTheme="minorEastAsia" w:hAnsi="Palatino Linotype" w:cs="Arial"/>
          <w:b/>
          <w:bCs/>
          <w:sz w:val="20"/>
          <w:szCs w:val="20"/>
        </w:rPr>
        <w:t>6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65528C1" w14:textId="574DAAEB" w:rsidR="00AE449F" w:rsidRDefault="00D52300" w:rsidP="00D52300">
      <w:pPr>
        <w:tabs>
          <w:tab w:val="left" w:pos="840"/>
          <w:tab w:val="center" w:pos="4819"/>
        </w:tabs>
        <w:spacing w:before="60" w:after="60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ab/>
      </w:r>
      <w:r>
        <w:rPr>
          <w:rFonts w:ascii="Palatino Linotype" w:eastAsiaTheme="minorEastAsia" w:hAnsi="Palatino Linotype" w:cs="Arial"/>
          <w:b/>
          <w:bCs/>
          <w:sz w:val="28"/>
          <w:szCs w:val="28"/>
        </w:rPr>
        <w:tab/>
      </w:r>
      <w:r w:rsidR="007B4B68"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</w:t>
      </w:r>
      <w:r w:rsidR="00B47C45"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PROHLÁŠENÍ O</w:t>
      </w:r>
      <w:r w:rsidR="00F23F2C" w:rsidRPr="00F23F2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 SPLNĚNÍ PODMÍNEK </w:t>
      </w:r>
    </w:p>
    <w:p w14:paraId="422ABCB2" w14:textId="0A7C1C45" w:rsidR="00C0169B" w:rsidRPr="007B4B68" w:rsidRDefault="00F23F2C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F23F2C">
        <w:rPr>
          <w:rFonts w:ascii="Palatino Linotype" w:eastAsiaTheme="minorEastAsia" w:hAnsi="Palatino Linotype" w:cs="Arial"/>
          <w:b/>
          <w:bCs/>
          <w:sz w:val="28"/>
          <w:szCs w:val="28"/>
        </w:rPr>
        <w:t>NAŘÍZENÍ RADY EU Č. 2022/576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88"/>
        <w:gridCol w:w="6940"/>
      </w:tblGrid>
      <w:tr w:rsidR="00C0169B" w:rsidRPr="00627C0D" w14:paraId="1F8EF66B" w14:textId="77777777" w:rsidTr="00870D11">
        <w:tc>
          <w:tcPr>
            <w:tcW w:w="1396" w:type="pct"/>
            <w:shd w:val="pct10" w:color="auto" w:fill="auto"/>
            <w:vAlign w:val="center"/>
          </w:tcPr>
          <w:p w14:paraId="7C95E382" w14:textId="77777777" w:rsidR="00C0169B" w:rsidRPr="00BE25BC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2"/>
                <w:szCs w:val="22"/>
              </w:rPr>
            </w:pPr>
            <w:r w:rsidRPr="00BE25BC">
              <w:rPr>
                <w:rFonts w:ascii="Palatino Linotype" w:eastAsiaTheme="minorEastAsia" w:hAnsi="Palatino Linotype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604" w:type="pct"/>
          </w:tcPr>
          <w:p w14:paraId="1D45F32E" w14:textId="43DD13C2" w:rsidR="00C0169B" w:rsidRPr="00FA7332" w:rsidRDefault="00FA7332" w:rsidP="00870D11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sz w:val="22"/>
                <w:szCs w:val="22"/>
                <w:highlight w:val="yellow"/>
              </w:rPr>
            </w:pPr>
            <w:r w:rsidRPr="00FA7332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>Dodávka a instalace FVE na budově Městské</w:t>
            </w:r>
            <w:r w:rsidR="00A85DB8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>ho</w:t>
            </w:r>
            <w:r w:rsidRPr="00FA7332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 xml:space="preserve"> úřadu v</w:t>
            </w:r>
            <w:r w:rsidR="00870D11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> </w:t>
            </w:r>
            <w:r w:rsidRPr="00FA7332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>Trutnově</w:t>
            </w:r>
            <w:r w:rsidR="00870D11">
              <w:rPr>
                <w:rFonts w:ascii="Palatino Linotype" w:eastAsiaTheme="minorEastAsia" w:hAnsi="Palatino Linotype" w:cs="Arial"/>
                <w:b/>
                <w:bCs/>
                <w:sz w:val="22"/>
                <w:szCs w:val="22"/>
              </w:rPr>
              <w:t xml:space="preserve"> II</w:t>
            </w:r>
          </w:p>
        </w:tc>
      </w:tr>
      <w:tr w:rsidR="00C0169B" w:rsidRPr="007B4B68" w14:paraId="152E83D1" w14:textId="77777777" w:rsidTr="00870D11">
        <w:tc>
          <w:tcPr>
            <w:tcW w:w="1396" w:type="pct"/>
            <w:shd w:val="pct10" w:color="auto" w:fill="auto"/>
            <w:vAlign w:val="center"/>
          </w:tcPr>
          <w:p w14:paraId="6489A146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3604" w:type="pct"/>
          </w:tcPr>
          <w:p w14:paraId="0EFCD971" w14:textId="7408D399" w:rsidR="00C0169B" w:rsidRPr="007B4B68" w:rsidRDefault="005E425B" w:rsidP="00870D1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3483B282" w14:textId="3D264978" w:rsidR="00C0169B" w:rsidRPr="00C31308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45"/>
      </w:tblGrid>
      <w:tr w:rsidR="00D52300" w:rsidRPr="007B4B68" w14:paraId="0307A16C" w14:textId="77777777" w:rsidTr="00870D11">
        <w:trPr>
          <w:trHeight w:val="284"/>
        </w:trPr>
        <w:tc>
          <w:tcPr>
            <w:tcW w:w="2689" w:type="dxa"/>
            <w:shd w:val="pct10" w:color="auto" w:fill="auto"/>
          </w:tcPr>
          <w:p w14:paraId="54EB737F" w14:textId="77777777" w:rsidR="00D52300" w:rsidRPr="007B4B68" w:rsidRDefault="00D52300" w:rsidP="00D52300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7BAC43F" w14:textId="5CB14479" w:rsidR="00D52300" w:rsidRPr="00D52300" w:rsidRDefault="00D52300" w:rsidP="00D52300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D52300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D52300" w:rsidRPr="007B4B68" w14:paraId="62A72A1D" w14:textId="77777777" w:rsidTr="00870D11">
        <w:trPr>
          <w:trHeight w:val="284"/>
        </w:trPr>
        <w:tc>
          <w:tcPr>
            <w:tcW w:w="2689" w:type="dxa"/>
            <w:shd w:val="pct10" w:color="auto" w:fill="auto"/>
          </w:tcPr>
          <w:p w14:paraId="56C85B5D" w14:textId="77777777" w:rsidR="00D52300" w:rsidRPr="007B4B68" w:rsidRDefault="00D52300" w:rsidP="00D52300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65E24A" w14:textId="7563A4FD" w:rsidR="00D52300" w:rsidRPr="00D52300" w:rsidRDefault="00D52300" w:rsidP="00D52300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D52300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D52300" w:rsidRPr="007B4B68" w14:paraId="2C333E2D" w14:textId="77777777" w:rsidTr="00870D11">
        <w:trPr>
          <w:trHeight w:val="284"/>
        </w:trPr>
        <w:tc>
          <w:tcPr>
            <w:tcW w:w="2689" w:type="dxa"/>
            <w:shd w:val="pct10" w:color="auto" w:fill="auto"/>
          </w:tcPr>
          <w:p w14:paraId="420796B1" w14:textId="6048A859" w:rsidR="00D52300" w:rsidRPr="007B4B68" w:rsidRDefault="00D52300" w:rsidP="00D52300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/DIČ: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382CDD51" w14:textId="207CA8CD" w:rsidR="00D52300" w:rsidRPr="00D52300" w:rsidRDefault="00D52300" w:rsidP="00D52300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D52300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D52300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D52300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D52300" w:rsidRPr="007B4B68" w14:paraId="77ECE507" w14:textId="77777777" w:rsidTr="00870D11">
        <w:trPr>
          <w:trHeight w:val="284"/>
        </w:trPr>
        <w:tc>
          <w:tcPr>
            <w:tcW w:w="2689" w:type="dxa"/>
            <w:shd w:val="pct10" w:color="auto" w:fill="auto"/>
          </w:tcPr>
          <w:p w14:paraId="44E4FE58" w14:textId="747D4EA0" w:rsidR="00D52300" w:rsidRPr="007B4B68" w:rsidRDefault="00D52300" w:rsidP="00D52300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FE4013" w14:textId="686471E6" w:rsidR="00D52300" w:rsidRPr="00D52300" w:rsidRDefault="00D52300" w:rsidP="00D52300">
            <w:pPr>
              <w:suppressAutoHyphens/>
              <w:ind w:left="-57" w:right="-113"/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</w:pP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a,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starost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města</w:t>
            </w:r>
          </w:p>
        </w:tc>
      </w:tr>
    </w:tbl>
    <w:p w14:paraId="00DD6766" w14:textId="48D46F9F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88"/>
        <w:gridCol w:w="6940"/>
      </w:tblGrid>
      <w:tr w:rsidR="00C0169B" w:rsidRPr="00627C0D" w14:paraId="029F6A7F" w14:textId="77777777" w:rsidTr="00842314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63E6F0" w14:textId="49484C86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4E894C4" w14:textId="77777777" w:rsidTr="00870D11">
        <w:tc>
          <w:tcPr>
            <w:tcW w:w="1396" w:type="pct"/>
            <w:shd w:val="clear" w:color="auto" w:fill="F2F2F2" w:themeFill="background1" w:themeFillShade="F2"/>
            <w:vAlign w:val="center"/>
          </w:tcPr>
          <w:p w14:paraId="38C52D6E" w14:textId="73ACE1FC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604" w:type="pct"/>
          </w:tcPr>
          <w:p w14:paraId="7F6C9DA4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612705CF" w14:textId="77777777" w:rsidTr="00870D11">
        <w:tc>
          <w:tcPr>
            <w:tcW w:w="1396" w:type="pct"/>
            <w:shd w:val="clear" w:color="auto" w:fill="F2F2F2" w:themeFill="background1" w:themeFillShade="F2"/>
          </w:tcPr>
          <w:p w14:paraId="699FE42A" w14:textId="62870C19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604" w:type="pct"/>
          </w:tcPr>
          <w:p w14:paraId="36010B9B" w14:textId="0F614FE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F38DC0F" w14:textId="77777777" w:rsidTr="00870D11">
        <w:tc>
          <w:tcPr>
            <w:tcW w:w="1396" w:type="pct"/>
            <w:shd w:val="clear" w:color="auto" w:fill="F2F2F2" w:themeFill="background1" w:themeFillShade="F2"/>
          </w:tcPr>
          <w:p w14:paraId="66E72444" w14:textId="2342665F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604" w:type="pct"/>
          </w:tcPr>
          <w:p w14:paraId="4C673A6A" w14:textId="5B76806F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8288741" w14:textId="77777777" w:rsidTr="00870D11">
        <w:tc>
          <w:tcPr>
            <w:tcW w:w="1396" w:type="pct"/>
            <w:shd w:val="clear" w:color="auto" w:fill="F2F2F2" w:themeFill="background1" w:themeFillShade="F2"/>
          </w:tcPr>
          <w:p w14:paraId="3116C17F" w14:textId="45F635C4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604" w:type="pct"/>
          </w:tcPr>
          <w:p w14:paraId="510A032C" w14:textId="68D200D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5C0B3C0B" w14:textId="77777777" w:rsidTr="00870D11">
        <w:tc>
          <w:tcPr>
            <w:tcW w:w="1396" w:type="pct"/>
            <w:shd w:val="clear" w:color="auto" w:fill="F2F2F2" w:themeFill="background1" w:themeFillShade="F2"/>
          </w:tcPr>
          <w:p w14:paraId="63949FC7" w14:textId="44CD9D45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604" w:type="pct"/>
          </w:tcPr>
          <w:p w14:paraId="57C2823D" w14:textId="627384CE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41A7893" w14:textId="0472FF86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085C96FB" w14:textId="77777777" w:rsidR="00C51E08" w:rsidRPr="00C51E08" w:rsidRDefault="00C51E08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10"/>
          <w:szCs w:val="10"/>
        </w:rPr>
      </w:pPr>
    </w:p>
    <w:p w14:paraId="4B03FB08" w14:textId="676C7425" w:rsidR="00F23F2C" w:rsidRDefault="005F0FDE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 </w:t>
      </w:r>
      <w:r w:rsidR="00F23F2C" w:rsidRPr="00F23F2C">
        <w:rPr>
          <w:rFonts w:ascii="Palatino Linotype" w:hAnsi="Palatino Linotype" w:cs="Arial"/>
          <w:b/>
          <w:sz w:val="20"/>
          <w:szCs w:val="20"/>
        </w:rPr>
        <w:t>je seznámen se zněním Nařízení Rady EU č. 2022/576</w:t>
      </w:r>
      <w:r w:rsidR="00AE449F" w:rsidRPr="00AE449F">
        <w:rPr>
          <w:rFonts w:ascii="Palatino Linotype" w:hAnsi="Palatino Linotype" w:cs="Arial"/>
          <w:b/>
          <w:sz w:val="20"/>
          <w:szCs w:val="20"/>
        </w:rPr>
        <w:t xml:space="preserve"> </w:t>
      </w:r>
      <w:r w:rsidR="00AE449F" w:rsidRPr="00F23F2C">
        <w:rPr>
          <w:rFonts w:ascii="Palatino Linotype" w:hAnsi="Palatino Linotype" w:cs="Arial"/>
          <w:b/>
          <w:sz w:val="20"/>
          <w:szCs w:val="20"/>
        </w:rPr>
        <w:t>ze dne 8. 4. 2022</w:t>
      </w:r>
      <w:r w:rsidR="00F23F2C" w:rsidRPr="00F23F2C">
        <w:rPr>
          <w:rFonts w:ascii="Palatino Linotype" w:hAnsi="Palatino Linotype" w:cs="Arial"/>
          <w:b/>
          <w:sz w:val="20"/>
          <w:szCs w:val="20"/>
        </w:rPr>
        <w:t>, kterým se mění nařízení (EU) č. 833/2014 o omezujících opatřeních vzhledem k činnostem Ruska destabilizujícím situaci na Ukrajině</w:t>
      </w:r>
      <w:r w:rsidR="00AE449F">
        <w:rPr>
          <w:rFonts w:ascii="Palatino Linotype" w:hAnsi="Palatino Linotype" w:cs="Arial"/>
          <w:b/>
          <w:sz w:val="20"/>
          <w:szCs w:val="20"/>
        </w:rPr>
        <w:t xml:space="preserve"> (dále jen „Nařízení“).</w:t>
      </w:r>
    </w:p>
    <w:p w14:paraId="1C73F8DE" w14:textId="77777777" w:rsidR="00F23F2C" w:rsidRDefault="00F23F2C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C013748" w14:textId="6E91DDBE" w:rsidR="00627C0D" w:rsidRPr="00CF178F" w:rsidRDefault="00F23F2C" w:rsidP="00C51E08">
      <w:pPr>
        <w:tabs>
          <w:tab w:val="left" w:pos="2552"/>
          <w:tab w:val="left" w:pos="3544"/>
        </w:tabs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Dodavatel, jako </w:t>
      </w:r>
      <w:r w:rsidR="005F0FDE">
        <w:rPr>
          <w:rFonts w:ascii="Palatino Linotype" w:hAnsi="Palatino Linotype" w:cs="Arial"/>
          <w:b/>
          <w:sz w:val="20"/>
          <w:szCs w:val="20"/>
        </w:rPr>
        <w:t>účastník</w:t>
      </w:r>
      <w:r w:rsidR="004D36BC">
        <w:rPr>
          <w:rFonts w:ascii="Palatino Linotype" w:hAnsi="Palatino Linotype" w:cs="Arial"/>
          <w:b/>
          <w:sz w:val="20"/>
          <w:szCs w:val="20"/>
        </w:rPr>
        <w:t xml:space="preserve"> výběrového řízení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 xml:space="preserve"> tímto</w:t>
      </w:r>
      <w:r w:rsidR="00AE449F">
        <w:rPr>
          <w:rFonts w:ascii="Palatino Linotype" w:hAnsi="Palatino Linotype" w:cs="Arial"/>
          <w:b/>
          <w:sz w:val="20"/>
          <w:szCs w:val="20"/>
        </w:rPr>
        <w:t xml:space="preserve"> v souladu se shora uvedeným Nařízením</w:t>
      </w:r>
      <w:r w:rsidR="00627C0D" w:rsidRPr="00CF178F">
        <w:rPr>
          <w:rFonts w:ascii="Palatino Linotype" w:hAnsi="Palatino Linotype" w:cs="Arial"/>
          <w:b/>
          <w:sz w:val="20"/>
          <w:szCs w:val="20"/>
        </w:rPr>
        <w:t xml:space="preserve"> </w:t>
      </w:r>
      <w:r>
        <w:rPr>
          <w:rFonts w:ascii="Palatino Linotype" w:hAnsi="Palatino Linotype" w:cs="Arial"/>
          <w:b/>
          <w:sz w:val="20"/>
          <w:szCs w:val="20"/>
        </w:rPr>
        <w:t xml:space="preserve">prohlašuje, že: </w:t>
      </w:r>
    </w:p>
    <w:p w14:paraId="57D1055C" w14:textId="49ACC89F" w:rsidR="00F23F2C" w:rsidRDefault="00AE449F" w:rsidP="00F23F2C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není </w:t>
      </w:r>
      <w:r w:rsidR="00F23F2C" w:rsidRPr="00F23F2C">
        <w:rPr>
          <w:rFonts w:ascii="Palatino Linotype" w:eastAsiaTheme="minorEastAsia" w:hAnsi="Palatino Linotype" w:cs="Arial"/>
          <w:bCs/>
          <w:sz w:val="20"/>
          <w:szCs w:val="20"/>
        </w:rPr>
        <w:t>ruským státním příslušníkem, fyzickou či právnickou osobou nebo subjektem se sídlem v</w:t>
      </w:r>
      <w:r w:rsidR="00F23F2C">
        <w:rPr>
          <w:rFonts w:ascii="Palatino Linotype" w:eastAsiaTheme="minorEastAsia" w:hAnsi="Palatino Linotype" w:cs="Arial"/>
          <w:bCs/>
          <w:sz w:val="20"/>
          <w:szCs w:val="20"/>
        </w:rPr>
        <w:t> </w:t>
      </w:r>
      <w:r w:rsidR="00F23F2C" w:rsidRPr="00F23F2C">
        <w:rPr>
          <w:rFonts w:ascii="Palatino Linotype" w:eastAsiaTheme="minorEastAsia" w:hAnsi="Palatino Linotype" w:cs="Arial"/>
          <w:bCs/>
          <w:sz w:val="20"/>
          <w:szCs w:val="20"/>
        </w:rPr>
        <w:t>Rusku</w:t>
      </w:r>
      <w:r w:rsidR="00F23F2C">
        <w:rPr>
          <w:rFonts w:ascii="Palatino Linotype" w:eastAsiaTheme="minorEastAsia" w:hAnsi="Palatino Linotype" w:cs="Arial"/>
          <w:bCs/>
          <w:sz w:val="20"/>
          <w:szCs w:val="20"/>
        </w:rPr>
        <w:t>;</w:t>
      </w:r>
    </w:p>
    <w:p w14:paraId="1B456343" w14:textId="0C754417" w:rsidR="00F23F2C" w:rsidRPr="00F23F2C" w:rsidRDefault="00AE449F" w:rsidP="00F23F2C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není </w:t>
      </w:r>
      <w:r w:rsidR="00F23F2C" w:rsidRPr="00F23F2C">
        <w:rPr>
          <w:rFonts w:ascii="Palatino Linotype" w:eastAsiaTheme="minorEastAsia" w:hAnsi="Palatino Linotype" w:cs="Arial"/>
          <w:bCs/>
          <w:sz w:val="20"/>
          <w:szCs w:val="20"/>
        </w:rPr>
        <w:t>právnickou osobou či subjektem, který je z více než 50 % přímo či nepřímo vlastněn některým ze subjektů uvedených v písmeni a), nebo</w:t>
      </w:r>
    </w:p>
    <w:p w14:paraId="7F54229D" w14:textId="09C1E599" w:rsidR="00A61F69" w:rsidRDefault="00AE449F" w:rsidP="00F23F2C">
      <w:pPr>
        <w:numPr>
          <w:ilvl w:val="0"/>
          <w:numId w:val="2"/>
        </w:numPr>
        <w:ind w:left="284" w:hanging="284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není </w:t>
      </w:r>
      <w:r w:rsidR="00F23F2C" w:rsidRPr="00F23F2C">
        <w:rPr>
          <w:rFonts w:ascii="Palatino Linotype" w:eastAsiaTheme="minorEastAsia" w:hAnsi="Palatino Linotype" w:cs="Arial"/>
          <w:bCs/>
          <w:sz w:val="20"/>
          <w:szCs w:val="20"/>
        </w:rPr>
        <w:t>fyzickou, právnickou osobou, nebo subjektem, který jedná jménem nebo na pokyn některého ze subjektů uvedených v písmeni a) nebo b)</w:t>
      </w:r>
      <w:r w:rsidR="00F23F2C">
        <w:rPr>
          <w:rFonts w:ascii="Palatino Linotype" w:eastAsiaTheme="minorEastAsia" w:hAnsi="Palatino Linotype" w:cs="Arial"/>
          <w:bCs/>
          <w:sz w:val="20"/>
          <w:szCs w:val="20"/>
        </w:rPr>
        <w:t>.</w:t>
      </w:r>
    </w:p>
    <w:p w14:paraId="658A2EE8" w14:textId="77777777" w:rsidR="00F23F2C" w:rsidRDefault="00F23F2C" w:rsidP="00F23F2C">
      <w:pPr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</w:p>
    <w:p w14:paraId="57BF8AE4" w14:textId="06DF33EE" w:rsidR="00AE449F" w:rsidRDefault="00F23F2C" w:rsidP="00F23F2C">
      <w:pPr>
        <w:jc w:val="both"/>
        <w:rPr>
          <w:rFonts w:ascii="Palatino Linotype" w:eastAsiaTheme="minorEastAsia" w:hAnsi="Palatino Linotype" w:cs="Arial"/>
          <w:b/>
          <w:sz w:val="20"/>
          <w:szCs w:val="20"/>
        </w:rPr>
      </w:pP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Dodavatel dále prohlašuje, že při plnění veřejné zakázky nevyužije pro plnění představující více než 10 % hodnoty veřejné zakázky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pod</w:t>
      </w: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dodavatele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spadajícího pod</w:t>
      </w: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výše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 uvedenou definici dle písmene</w:t>
      </w: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a)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až</w:t>
      </w: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c)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 či jiného dodavatele</w:t>
      </w:r>
      <w:r w:rsidR="00AE449F" w:rsidRP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,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který se má podílet</w:t>
      </w:r>
      <w:r w:rsidR="00AE449F" w:rsidRP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 na plnění veřejné zakázky</w:t>
      </w:r>
      <w:r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(např. prostřednictvím kterého</w:t>
      </w:r>
      <w:r w:rsidR="00AE449F" w:rsidRP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 prokazuje kvalifikaci, či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se kterým </w:t>
      </w:r>
      <w:r w:rsidR="00AE449F" w:rsidRPr="00AE449F">
        <w:rPr>
          <w:rFonts w:ascii="Palatino Linotype" w:eastAsiaTheme="minorEastAsia" w:hAnsi="Palatino Linotype" w:cs="Arial"/>
          <w:b/>
          <w:sz w:val="20"/>
          <w:szCs w:val="20"/>
        </w:rPr>
        <w:t>podává společnou nabídku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) spadajícího pod</w:t>
      </w:r>
      <w:r w:rsidR="00AE449F"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výše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 xml:space="preserve"> uvedenou definici dle písmene</w:t>
      </w:r>
      <w:r w:rsidR="00AE449F"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a) </w:t>
      </w:r>
      <w:r w:rsidR="00AE449F">
        <w:rPr>
          <w:rFonts w:ascii="Palatino Linotype" w:eastAsiaTheme="minorEastAsia" w:hAnsi="Palatino Linotype" w:cs="Arial"/>
          <w:b/>
          <w:sz w:val="20"/>
          <w:szCs w:val="20"/>
        </w:rPr>
        <w:t>až</w:t>
      </w:r>
      <w:r w:rsidR="00AE449F" w:rsidRPr="00F23F2C">
        <w:rPr>
          <w:rFonts w:ascii="Palatino Linotype" w:eastAsiaTheme="minorEastAsia" w:hAnsi="Palatino Linotype" w:cs="Arial"/>
          <w:b/>
          <w:sz w:val="20"/>
          <w:szCs w:val="20"/>
        </w:rPr>
        <w:t xml:space="preserve"> c).</w:t>
      </w:r>
    </w:p>
    <w:p w14:paraId="676E7C10" w14:textId="77777777" w:rsidR="00F23F2C" w:rsidRPr="00F23F2C" w:rsidRDefault="00F23F2C" w:rsidP="00F23F2C">
      <w:pPr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5000" w:type="pct"/>
        <w:tblLook w:val="04A0" w:firstRow="1" w:lastRow="0" w:firstColumn="1" w:lastColumn="0" w:noHBand="0" w:noVBand="1"/>
      </w:tblPr>
      <w:tblGrid>
        <w:gridCol w:w="4950"/>
        <w:gridCol w:w="304"/>
        <w:gridCol w:w="2132"/>
        <w:gridCol w:w="495"/>
        <w:gridCol w:w="1747"/>
      </w:tblGrid>
      <w:tr w:rsidR="005A082A" w:rsidRPr="00A61F69" w14:paraId="33979386" w14:textId="77777777" w:rsidTr="005A082A">
        <w:tc>
          <w:tcPr>
            <w:tcW w:w="5000" w:type="pct"/>
            <w:gridSpan w:val="5"/>
            <w:shd w:val="solid" w:color="auto" w:fill="auto"/>
            <w:vAlign w:val="center"/>
          </w:tcPr>
          <w:p w14:paraId="078C7CAC" w14:textId="77777777" w:rsidR="005A082A" w:rsidRPr="00A61F69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A082A" w:rsidRPr="007B4B68" w14:paraId="673A22FC" w14:textId="77777777" w:rsidTr="005A082A">
        <w:tc>
          <w:tcPr>
            <w:tcW w:w="2571" w:type="pct"/>
            <w:shd w:val="clear" w:color="auto" w:fill="F2F2F2" w:themeFill="background1" w:themeFillShade="F2"/>
          </w:tcPr>
          <w:p w14:paraId="590348A1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58" w:type="pct"/>
            <w:shd w:val="pct10" w:color="auto" w:fill="auto"/>
          </w:tcPr>
          <w:p w14:paraId="6E06373B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07" w:type="pct"/>
            <w:shd w:val="clear" w:color="auto" w:fill="auto"/>
          </w:tcPr>
          <w:p w14:paraId="7F81BE1A" w14:textId="77777777" w:rsidR="005A082A" w:rsidRPr="00C3130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2F66EC66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07" w:type="pct"/>
          </w:tcPr>
          <w:p w14:paraId="1A87CFC3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A082A" w:rsidRPr="007B4B68" w14:paraId="00257A1F" w14:textId="77777777" w:rsidTr="005A082A">
        <w:tc>
          <w:tcPr>
            <w:tcW w:w="2571" w:type="pct"/>
            <w:shd w:val="clear" w:color="auto" w:fill="F2F2F2" w:themeFill="background1" w:themeFillShade="F2"/>
          </w:tcPr>
          <w:p w14:paraId="3C5D11C3" w14:textId="77777777" w:rsidR="005A082A" w:rsidRPr="00214F5A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9" w:type="pct"/>
            <w:gridSpan w:val="4"/>
          </w:tcPr>
          <w:p w14:paraId="597F351D" w14:textId="77777777" w:rsidR="005A082A" w:rsidRPr="00627C0D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A082A" w:rsidRPr="007B4B68" w14:paraId="59FFBD1C" w14:textId="77777777" w:rsidTr="005A082A">
        <w:tc>
          <w:tcPr>
            <w:tcW w:w="2571" w:type="pct"/>
            <w:shd w:val="clear" w:color="auto" w:fill="F2F2F2" w:themeFill="background1" w:themeFillShade="F2"/>
          </w:tcPr>
          <w:p w14:paraId="38CAAFE9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9" w:type="pct"/>
            <w:gridSpan w:val="4"/>
          </w:tcPr>
          <w:p w14:paraId="52CB3D69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A082A" w:rsidRPr="007B4B68" w14:paraId="4CA10174" w14:textId="77777777" w:rsidTr="005A082A">
        <w:trPr>
          <w:trHeight w:val="794"/>
        </w:trPr>
        <w:tc>
          <w:tcPr>
            <w:tcW w:w="2571" w:type="pct"/>
            <w:shd w:val="clear" w:color="auto" w:fill="F2F2F2" w:themeFill="background1" w:themeFillShade="F2"/>
          </w:tcPr>
          <w:p w14:paraId="4306BE74" w14:textId="77777777" w:rsidR="005A082A" w:rsidRPr="007B4B68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</w:tc>
        <w:tc>
          <w:tcPr>
            <w:tcW w:w="2429" w:type="pct"/>
            <w:gridSpan w:val="4"/>
          </w:tcPr>
          <w:p w14:paraId="74C53577" w14:textId="77777777" w:rsidR="005A082A" w:rsidRPr="00627C0D" w:rsidRDefault="005A082A" w:rsidP="005A082A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2F6812DC" w14:textId="4B5604B4" w:rsidR="00881B18" w:rsidRDefault="00881B18" w:rsidP="005A082A">
      <w:pPr>
        <w:jc w:val="both"/>
        <w:rPr>
          <w:rFonts w:ascii="Palatino Linotype" w:hAnsi="Palatino Linotype" w:cs="Arial"/>
          <w:sz w:val="20"/>
          <w:szCs w:val="20"/>
          <w:u w:val="single"/>
        </w:rPr>
      </w:pPr>
    </w:p>
    <w:sectPr w:rsidR="00881B18" w:rsidSect="00A73E9C">
      <w:headerReference w:type="default" r:id="rId10"/>
      <w:footerReference w:type="default" r:id="rId11"/>
      <w:pgSz w:w="11906" w:h="16838"/>
      <w:pgMar w:top="1418" w:right="1134" w:bottom="284" w:left="1134" w:header="56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C343A" w14:textId="77777777" w:rsidR="00A73E9C" w:rsidRDefault="00A73E9C" w:rsidP="00193245">
      <w:r>
        <w:separator/>
      </w:r>
    </w:p>
  </w:endnote>
  <w:endnote w:type="continuationSeparator" w:id="0">
    <w:p w14:paraId="11A8605C" w14:textId="77777777" w:rsidR="00A73E9C" w:rsidRDefault="00A73E9C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376FE" w14:textId="382ED808" w:rsidR="00CE4914" w:rsidRPr="00CE4914" w:rsidRDefault="00C047A6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3A60832F" wp14:editId="6184A15A">
          <wp:extent cx="6115050" cy="523875"/>
          <wp:effectExtent l="0" t="0" r="0" b="9525"/>
          <wp:docPr id="1729438849" name="Obrázek 17294388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8891" w14:textId="77777777" w:rsidR="00A73E9C" w:rsidRDefault="00A73E9C" w:rsidP="00193245">
      <w:r>
        <w:separator/>
      </w:r>
    </w:p>
  </w:footnote>
  <w:footnote w:type="continuationSeparator" w:id="0">
    <w:p w14:paraId="7B5B723D" w14:textId="77777777" w:rsidR="00A73E9C" w:rsidRDefault="00A73E9C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99FFE" w14:textId="77777777" w:rsidR="00D52300" w:rsidRPr="005E4A61" w:rsidRDefault="00D52300" w:rsidP="00D52300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4F5A9A46" wp14:editId="19BF1552">
          <wp:simplePos x="0" y="0"/>
          <wp:positionH relativeFrom="column">
            <wp:posOffset>32413</wp:posOffset>
          </wp:positionH>
          <wp:positionV relativeFrom="paragraph">
            <wp:posOffset>-214160</wp:posOffset>
          </wp:positionV>
          <wp:extent cx="671804" cy="699448"/>
          <wp:effectExtent l="0" t="0" r="0" b="5715"/>
          <wp:wrapNone/>
          <wp:docPr id="1756397928" name="Obrázek 1756397928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564B0B8A" w14:textId="551B849F" w:rsidR="00D52300" w:rsidRPr="005E4A61" w:rsidRDefault="00D52300" w:rsidP="00FA7332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sz w:val="20"/>
        <w:szCs w:val="20"/>
      </w:rPr>
    </w:pPr>
    <w:r w:rsidRPr="005E4A61">
      <w:rPr>
        <w:rFonts w:ascii="Palatino Linotype" w:hAnsi="Palatino Linotype"/>
        <w:b/>
        <w:bCs/>
        <w:sz w:val="20"/>
        <w:szCs w:val="20"/>
      </w:rPr>
      <w:t>„</w:t>
    </w:r>
    <w:r w:rsidR="00FA7332" w:rsidRPr="00FA7332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 w:rsidR="00862A88">
      <w:rPr>
        <w:rFonts w:ascii="Palatino Linotype" w:hAnsi="Palatino Linotype"/>
        <w:b/>
        <w:bCs/>
        <w:i/>
        <w:iCs/>
        <w:sz w:val="20"/>
        <w:szCs w:val="20"/>
      </w:rPr>
      <w:t>ho</w:t>
    </w:r>
    <w:r w:rsidR="00FA7332" w:rsidRPr="00FA7332">
      <w:rPr>
        <w:rFonts w:ascii="Palatino Linotype" w:hAnsi="Palatino Linotype"/>
        <w:b/>
        <w:bCs/>
        <w:i/>
        <w:iCs/>
        <w:sz w:val="20"/>
        <w:szCs w:val="20"/>
      </w:rPr>
      <w:t xml:space="preserve"> úřadu v</w:t>
    </w:r>
    <w:r w:rsidR="00870D11">
      <w:rPr>
        <w:rFonts w:ascii="Palatino Linotype" w:hAnsi="Palatino Linotype"/>
        <w:b/>
        <w:bCs/>
        <w:i/>
        <w:iCs/>
        <w:sz w:val="20"/>
        <w:szCs w:val="20"/>
      </w:rPr>
      <w:t> </w:t>
    </w:r>
    <w:r w:rsidR="00FA7332" w:rsidRPr="00FA7332">
      <w:rPr>
        <w:rFonts w:ascii="Palatino Linotype" w:hAnsi="Palatino Linotype"/>
        <w:b/>
        <w:bCs/>
        <w:i/>
        <w:iCs/>
        <w:sz w:val="20"/>
        <w:szCs w:val="20"/>
      </w:rPr>
      <w:t>Trutnově</w:t>
    </w:r>
    <w:r w:rsidR="00870D11">
      <w:rPr>
        <w:rFonts w:ascii="Palatino Linotype" w:hAnsi="Palatino Linotype"/>
        <w:b/>
        <w:bCs/>
        <w:i/>
        <w:iCs/>
        <w:sz w:val="20"/>
        <w:szCs w:val="20"/>
      </w:rPr>
      <w:t xml:space="preserve"> II</w:t>
    </w:r>
    <w:r w:rsidRPr="005E4A61">
      <w:rPr>
        <w:rFonts w:ascii="Palatino Linotype" w:hAnsi="Palatino Linotype"/>
        <w:b/>
        <w:bCs/>
        <w:i/>
        <w:sz w:val="20"/>
        <w:szCs w:val="20"/>
      </w:rPr>
      <w:t>“</w:t>
    </w:r>
  </w:p>
  <w:p w14:paraId="180693A3" w14:textId="77777777" w:rsidR="00D52300" w:rsidRPr="005E4A61" w:rsidRDefault="00D52300" w:rsidP="00D52300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403722719">
    <w:abstractNumId w:val="0"/>
  </w:num>
  <w:num w:numId="2" w16cid:durableId="238905982">
    <w:abstractNumId w:val="1"/>
  </w:num>
  <w:num w:numId="3" w16cid:durableId="600529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20876"/>
    <w:rsid w:val="00026A29"/>
    <w:rsid w:val="00051E26"/>
    <w:rsid w:val="00054B14"/>
    <w:rsid w:val="000720B7"/>
    <w:rsid w:val="000F3B38"/>
    <w:rsid w:val="00101695"/>
    <w:rsid w:val="001062A0"/>
    <w:rsid w:val="00193245"/>
    <w:rsid w:val="001C676D"/>
    <w:rsid w:val="001E2C68"/>
    <w:rsid w:val="00224CC8"/>
    <w:rsid w:val="002415D3"/>
    <w:rsid w:val="002A7E84"/>
    <w:rsid w:val="002B70EF"/>
    <w:rsid w:val="00330CF2"/>
    <w:rsid w:val="00365F4F"/>
    <w:rsid w:val="003848E5"/>
    <w:rsid w:val="00392A9E"/>
    <w:rsid w:val="00395CD4"/>
    <w:rsid w:val="003D06D3"/>
    <w:rsid w:val="003F0C77"/>
    <w:rsid w:val="0040280C"/>
    <w:rsid w:val="00404AE0"/>
    <w:rsid w:val="004375AD"/>
    <w:rsid w:val="004475DA"/>
    <w:rsid w:val="004A1C74"/>
    <w:rsid w:val="004C066C"/>
    <w:rsid w:val="004D36BC"/>
    <w:rsid w:val="004F4787"/>
    <w:rsid w:val="00565256"/>
    <w:rsid w:val="00587FD6"/>
    <w:rsid w:val="005A082A"/>
    <w:rsid w:val="005B740C"/>
    <w:rsid w:val="005C026C"/>
    <w:rsid w:val="005E3917"/>
    <w:rsid w:val="005E425B"/>
    <w:rsid w:val="005E4916"/>
    <w:rsid w:val="005F0FDE"/>
    <w:rsid w:val="00627C0D"/>
    <w:rsid w:val="006335C5"/>
    <w:rsid w:val="006B6E53"/>
    <w:rsid w:val="006D18D5"/>
    <w:rsid w:val="007425B3"/>
    <w:rsid w:val="00765701"/>
    <w:rsid w:val="00795F2B"/>
    <w:rsid w:val="007B4B68"/>
    <w:rsid w:val="007C1442"/>
    <w:rsid w:val="007E4D1B"/>
    <w:rsid w:val="00853BDB"/>
    <w:rsid w:val="00862A88"/>
    <w:rsid w:val="00870D11"/>
    <w:rsid w:val="00881B18"/>
    <w:rsid w:val="00890E88"/>
    <w:rsid w:val="0093293F"/>
    <w:rsid w:val="00955768"/>
    <w:rsid w:val="00991A04"/>
    <w:rsid w:val="009A362E"/>
    <w:rsid w:val="009D0797"/>
    <w:rsid w:val="009E1167"/>
    <w:rsid w:val="009E6AF3"/>
    <w:rsid w:val="00A05FA8"/>
    <w:rsid w:val="00A5028B"/>
    <w:rsid w:val="00A61F69"/>
    <w:rsid w:val="00A705EB"/>
    <w:rsid w:val="00A73E9C"/>
    <w:rsid w:val="00A85DB8"/>
    <w:rsid w:val="00AE449F"/>
    <w:rsid w:val="00AF0256"/>
    <w:rsid w:val="00B432E4"/>
    <w:rsid w:val="00B47C45"/>
    <w:rsid w:val="00B52F52"/>
    <w:rsid w:val="00BB5E5D"/>
    <w:rsid w:val="00BE25BC"/>
    <w:rsid w:val="00C0169B"/>
    <w:rsid w:val="00C047A6"/>
    <w:rsid w:val="00C31308"/>
    <w:rsid w:val="00C31F4A"/>
    <w:rsid w:val="00C51E08"/>
    <w:rsid w:val="00CE4914"/>
    <w:rsid w:val="00D04139"/>
    <w:rsid w:val="00D05E4A"/>
    <w:rsid w:val="00D067A0"/>
    <w:rsid w:val="00D144D0"/>
    <w:rsid w:val="00D52300"/>
    <w:rsid w:val="00D55A51"/>
    <w:rsid w:val="00D92DBF"/>
    <w:rsid w:val="00DE0EF4"/>
    <w:rsid w:val="00E0558A"/>
    <w:rsid w:val="00E25A3A"/>
    <w:rsid w:val="00E31AE7"/>
    <w:rsid w:val="00E550A5"/>
    <w:rsid w:val="00E81513"/>
    <w:rsid w:val="00ED3132"/>
    <w:rsid w:val="00ED6F80"/>
    <w:rsid w:val="00EE66D2"/>
    <w:rsid w:val="00F05BC4"/>
    <w:rsid w:val="00F23F2C"/>
    <w:rsid w:val="00F57CDC"/>
    <w:rsid w:val="00FA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376E4"/>
  <w15:docId w15:val="{9B9A3EB1-1222-4A37-A878-7CB51F10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40</cp:revision>
  <dcterms:created xsi:type="dcterms:W3CDTF">2017-09-22T08:59:00Z</dcterms:created>
  <dcterms:modified xsi:type="dcterms:W3CDTF">2024-03-11T22:56:00Z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